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82" w:type="dxa"/>
        <w:tblInd w:w="-142" w:type="dxa"/>
        <w:tblLook w:val="0000" w:firstRow="0" w:lastRow="0" w:firstColumn="0" w:lastColumn="0" w:noHBand="0" w:noVBand="0"/>
      </w:tblPr>
      <w:tblGrid>
        <w:gridCol w:w="5812"/>
        <w:gridCol w:w="4570"/>
      </w:tblGrid>
      <w:tr w:rsidR="00991F2C" w:rsidTr="00991F2C">
        <w:tc>
          <w:tcPr>
            <w:tcW w:w="5812" w:type="dxa"/>
            <w:tcBorders>
              <w:top w:val="nil"/>
              <w:left w:val="nil"/>
              <w:bottom w:val="nil"/>
              <w:right w:val="nil"/>
            </w:tcBorders>
          </w:tcPr>
          <w:p w:rsidR="00991F2C" w:rsidRDefault="00991F2C" w:rsidP="00A02A38">
            <w:pPr>
              <w:keepNext/>
              <w:spacing w:line="280" w:lineRule="exact"/>
              <w:rPr>
                <w:sz w:val="28"/>
                <w:szCs w:val="28"/>
              </w:rPr>
            </w:pPr>
          </w:p>
        </w:tc>
        <w:tc>
          <w:tcPr>
            <w:tcW w:w="4570" w:type="dxa"/>
            <w:tcBorders>
              <w:top w:val="nil"/>
              <w:left w:val="nil"/>
              <w:bottom w:val="nil"/>
              <w:right w:val="nil"/>
            </w:tcBorders>
          </w:tcPr>
          <w:p w:rsidR="00991F2C" w:rsidRDefault="00991F2C" w:rsidP="00A02A38">
            <w:pPr>
              <w:keepNext/>
              <w:spacing w:line="280" w:lineRule="exact"/>
              <w:rPr>
                <w:sz w:val="28"/>
                <w:szCs w:val="28"/>
              </w:rPr>
            </w:pPr>
            <w:r>
              <w:rPr>
                <w:sz w:val="28"/>
                <w:szCs w:val="28"/>
              </w:rPr>
              <w:t xml:space="preserve">Приложение 11 </w:t>
            </w:r>
          </w:p>
        </w:tc>
      </w:tr>
      <w:tr w:rsidR="00991F2C" w:rsidTr="00991F2C">
        <w:tc>
          <w:tcPr>
            <w:tcW w:w="5812" w:type="dxa"/>
            <w:tcBorders>
              <w:top w:val="nil"/>
              <w:left w:val="nil"/>
              <w:bottom w:val="nil"/>
              <w:right w:val="nil"/>
            </w:tcBorders>
          </w:tcPr>
          <w:p w:rsidR="00991F2C" w:rsidRDefault="00991F2C" w:rsidP="00862C7B">
            <w:pPr>
              <w:keepNext/>
              <w:spacing w:line="280" w:lineRule="exact"/>
              <w:rPr>
                <w:sz w:val="28"/>
                <w:szCs w:val="28"/>
              </w:rPr>
            </w:pPr>
          </w:p>
        </w:tc>
        <w:tc>
          <w:tcPr>
            <w:tcW w:w="4570" w:type="dxa"/>
            <w:tcBorders>
              <w:top w:val="nil"/>
              <w:left w:val="nil"/>
              <w:bottom w:val="nil"/>
              <w:right w:val="nil"/>
            </w:tcBorders>
          </w:tcPr>
          <w:p w:rsidR="00991F2C" w:rsidRDefault="00991F2C" w:rsidP="00862C7B">
            <w:pPr>
              <w:keepNext/>
              <w:spacing w:line="280" w:lineRule="exact"/>
              <w:rPr>
                <w:sz w:val="28"/>
                <w:szCs w:val="28"/>
              </w:rPr>
            </w:pPr>
            <w:r>
              <w:rPr>
                <w:sz w:val="28"/>
                <w:szCs w:val="28"/>
              </w:rPr>
              <w:t>к проекту закона города Москвы</w:t>
            </w:r>
          </w:p>
          <w:p w:rsidR="00991F2C" w:rsidRDefault="00991F2C" w:rsidP="00862C7B">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r>
              <w:rPr>
                <w:sz w:val="28"/>
                <w:szCs w:val="28"/>
              </w:rPr>
              <w:t xml:space="preserve"> </w:t>
            </w:r>
          </w:p>
        </w:tc>
      </w:tr>
    </w:tbl>
    <w:p w:rsidR="0017176A" w:rsidRDefault="0017176A" w:rsidP="0017176A">
      <w:pPr>
        <w:jc w:val="both"/>
        <w:rPr>
          <w:b/>
          <w:bCs/>
          <w:sz w:val="28"/>
          <w:szCs w:val="28"/>
        </w:rPr>
      </w:pPr>
    </w:p>
    <w:p w:rsidR="003B715E" w:rsidRDefault="003B715E" w:rsidP="00AB7B43">
      <w:pPr>
        <w:jc w:val="center"/>
        <w:rPr>
          <w:rFonts w:eastAsia="Times New Roman"/>
          <w:b/>
          <w:sz w:val="28"/>
          <w:szCs w:val="28"/>
          <w:lang w:eastAsia="en-US"/>
        </w:rPr>
      </w:pPr>
    </w:p>
    <w:p w:rsidR="003B715E" w:rsidRDefault="003B715E" w:rsidP="00AB7B43">
      <w:pPr>
        <w:jc w:val="center"/>
        <w:rPr>
          <w:rFonts w:eastAsia="Times New Roman"/>
          <w:b/>
          <w:sz w:val="28"/>
          <w:szCs w:val="28"/>
          <w:lang w:eastAsia="en-US"/>
        </w:rPr>
      </w:pPr>
    </w:p>
    <w:p w:rsidR="0025026C" w:rsidRDefault="00512465" w:rsidP="00AB7B43">
      <w:pPr>
        <w:jc w:val="center"/>
        <w:rPr>
          <w:rFonts w:eastAsia="Times New Roman"/>
          <w:b/>
          <w:sz w:val="28"/>
          <w:szCs w:val="28"/>
          <w:lang w:eastAsia="en-US"/>
        </w:rPr>
      </w:pPr>
      <w:r w:rsidRPr="00A76D70">
        <w:rPr>
          <w:rFonts w:eastAsia="Times New Roman"/>
          <w:b/>
          <w:sz w:val="28"/>
          <w:szCs w:val="28"/>
          <w:lang w:eastAsia="en-US"/>
        </w:rPr>
        <w:t>Исполнение</w:t>
      </w:r>
    </w:p>
    <w:p w:rsidR="0025026C" w:rsidRDefault="00AC1B0C" w:rsidP="00AB7B43">
      <w:pPr>
        <w:jc w:val="center"/>
        <w:rPr>
          <w:rFonts w:eastAsia="Times New Roman"/>
          <w:b/>
          <w:sz w:val="28"/>
          <w:szCs w:val="28"/>
          <w:lang w:eastAsia="en-US"/>
        </w:rPr>
      </w:pPr>
      <w:r w:rsidRPr="00A76D70">
        <w:rPr>
          <w:rFonts w:eastAsia="Times New Roman"/>
          <w:b/>
          <w:sz w:val="28"/>
          <w:szCs w:val="28"/>
          <w:lang w:eastAsia="en-US"/>
        </w:rPr>
        <w:t>П</w:t>
      </w:r>
      <w:r w:rsidR="00512465" w:rsidRPr="00A76D70">
        <w:rPr>
          <w:rFonts w:eastAsia="Times New Roman"/>
          <w:b/>
          <w:sz w:val="28"/>
          <w:szCs w:val="28"/>
          <w:lang w:eastAsia="en-US"/>
        </w:rPr>
        <w:t>рограммы государственных внутренних заимствований</w:t>
      </w:r>
    </w:p>
    <w:p w:rsidR="00757635" w:rsidRPr="00A76D70" w:rsidRDefault="00512465" w:rsidP="00AB7B43">
      <w:pPr>
        <w:jc w:val="center"/>
        <w:rPr>
          <w:rFonts w:eastAsia="Times New Roman"/>
          <w:b/>
          <w:sz w:val="28"/>
          <w:szCs w:val="28"/>
          <w:lang w:eastAsia="en-US"/>
        </w:rPr>
      </w:pPr>
      <w:r w:rsidRPr="00A76D70">
        <w:rPr>
          <w:rFonts w:eastAsia="Times New Roman"/>
          <w:b/>
          <w:sz w:val="28"/>
          <w:szCs w:val="28"/>
          <w:lang w:eastAsia="en-US"/>
        </w:rPr>
        <w:t xml:space="preserve">города Москвы за </w:t>
      </w:r>
      <w:r w:rsidR="008A0ABE">
        <w:rPr>
          <w:rFonts w:eastAsia="Times New Roman"/>
          <w:b/>
          <w:sz w:val="28"/>
          <w:szCs w:val="28"/>
          <w:lang w:eastAsia="en-US"/>
        </w:rPr>
        <w:t xml:space="preserve">2022 </w:t>
      </w:r>
      <w:r w:rsidRPr="00A76D70">
        <w:rPr>
          <w:rFonts w:eastAsia="Times New Roman"/>
          <w:b/>
          <w:sz w:val="28"/>
          <w:szCs w:val="28"/>
          <w:lang w:eastAsia="en-US"/>
        </w:rPr>
        <w:t>год</w:t>
      </w:r>
    </w:p>
    <w:p w:rsidR="0025026C" w:rsidRPr="00295DBB" w:rsidRDefault="0025026C" w:rsidP="0025026C">
      <w:pPr>
        <w:rPr>
          <w:rFonts w:eastAsia="Times New Roman"/>
        </w:rPr>
      </w:pPr>
    </w:p>
    <w:p w:rsidR="00F74524" w:rsidRPr="00295DBB" w:rsidRDefault="00F74524" w:rsidP="00F74524">
      <w:pPr>
        <w:jc w:val="center"/>
        <w:rPr>
          <w:rFonts w:eastAsia="Times New Roman"/>
        </w:rPr>
      </w:pPr>
      <w:r w:rsidRPr="00295DBB">
        <w:rPr>
          <w:rFonts w:eastAsia="Times New Roman"/>
        </w:rPr>
        <w:t xml:space="preserve">I. Привлечение </w:t>
      </w:r>
      <w:r>
        <w:rPr>
          <w:rFonts w:eastAsia="Times New Roman"/>
        </w:rPr>
        <w:t>средств в 2022 году</w:t>
      </w:r>
    </w:p>
    <w:p w:rsidR="00F74524" w:rsidRPr="00295DBB" w:rsidRDefault="00F74524" w:rsidP="00F74524">
      <w:pPr>
        <w:rPr>
          <w:rFonts w:eastAsia="Times New Roman"/>
        </w:rPr>
      </w:pPr>
    </w:p>
    <w:tbl>
      <w:tblPr>
        <w:tblW w:w="95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3856"/>
        <w:gridCol w:w="2693"/>
        <w:gridCol w:w="2410"/>
      </w:tblGrid>
      <w:tr w:rsidR="00F74524" w:rsidRPr="00295DBB" w:rsidTr="00B1298B">
        <w:trPr>
          <w:trHeight w:val="1103"/>
        </w:trPr>
        <w:tc>
          <w:tcPr>
            <w:tcW w:w="606" w:type="dxa"/>
            <w:tcBorders>
              <w:top w:val="single" w:sz="4" w:space="0" w:color="auto"/>
              <w:left w:val="single" w:sz="4" w:space="0" w:color="auto"/>
              <w:bottom w:val="single" w:sz="4" w:space="0" w:color="auto"/>
              <w:right w:val="single" w:sz="4" w:space="0" w:color="auto"/>
            </w:tcBorders>
            <w:vAlign w:val="center"/>
          </w:tcPr>
          <w:p w:rsidR="00F74524" w:rsidRPr="00295DBB" w:rsidRDefault="00F74524" w:rsidP="00B1298B">
            <w:pPr>
              <w:jc w:val="center"/>
              <w:rPr>
                <w:rFonts w:eastAsia="Times New Roman"/>
                <w:bCs/>
              </w:rPr>
            </w:pPr>
            <w:bookmarkStart w:id="0" w:name="_GoBack" w:colFirst="3" w:colLast="3"/>
            <w:r w:rsidRPr="00295DBB">
              <w:rPr>
                <w:rFonts w:eastAsia="Times New Roman"/>
                <w:bCs/>
              </w:rPr>
              <w:t>№</w:t>
            </w:r>
            <w:r w:rsidRPr="00295DBB">
              <w:rPr>
                <w:rFonts w:eastAsia="Times New Roman"/>
                <w:bCs/>
              </w:rPr>
              <w:br/>
              <w:t>п/п</w:t>
            </w:r>
          </w:p>
        </w:tc>
        <w:tc>
          <w:tcPr>
            <w:tcW w:w="3856" w:type="dxa"/>
            <w:tcBorders>
              <w:top w:val="single" w:sz="4" w:space="0" w:color="auto"/>
              <w:left w:val="single" w:sz="4" w:space="0" w:color="auto"/>
              <w:bottom w:val="single" w:sz="4" w:space="0" w:color="auto"/>
              <w:right w:val="single" w:sz="4" w:space="0" w:color="auto"/>
            </w:tcBorders>
            <w:vAlign w:val="center"/>
          </w:tcPr>
          <w:p w:rsidR="00F74524" w:rsidRPr="00295DBB" w:rsidRDefault="00F74524" w:rsidP="00B1298B">
            <w:pPr>
              <w:keepNext/>
              <w:jc w:val="center"/>
              <w:outlineLvl w:val="4"/>
              <w:rPr>
                <w:rFonts w:eastAsia="Times New Roman"/>
                <w:snapToGrid w:val="0"/>
              </w:rPr>
            </w:pPr>
            <w:r w:rsidRPr="00295DBB">
              <w:rPr>
                <w:rFonts w:eastAsia="Times New Roman"/>
                <w:snapToGrid w:val="0"/>
              </w:rPr>
              <w:t xml:space="preserve">Виды </w:t>
            </w:r>
            <w:r>
              <w:rPr>
                <w:rFonts w:eastAsia="Times New Roman"/>
                <w:snapToGrid w:val="0"/>
              </w:rPr>
              <w:t>долговых обязательств</w:t>
            </w:r>
          </w:p>
        </w:tc>
        <w:tc>
          <w:tcPr>
            <w:tcW w:w="2693" w:type="dxa"/>
            <w:tcBorders>
              <w:top w:val="single" w:sz="4" w:space="0" w:color="auto"/>
              <w:left w:val="single" w:sz="4" w:space="0" w:color="auto"/>
              <w:bottom w:val="single" w:sz="4" w:space="0" w:color="auto"/>
              <w:right w:val="single" w:sz="4" w:space="0" w:color="auto"/>
            </w:tcBorders>
            <w:vAlign w:val="center"/>
          </w:tcPr>
          <w:p w:rsidR="00F74524" w:rsidRPr="00295DBB" w:rsidRDefault="00F74524" w:rsidP="00B1298B">
            <w:pPr>
              <w:ind w:left="-108" w:right="-133"/>
              <w:jc w:val="center"/>
              <w:rPr>
                <w:rFonts w:eastAsia="Times New Roman"/>
                <w:bCs/>
              </w:rPr>
            </w:pPr>
            <w:r w:rsidRPr="00295DBB">
              <w:rPr>
                <w:rFonts w:eastAsia="Times New Roman"/>
                <w:bCs/>
              </w:rPr>
              <w:t>Объем</w:t>
            </w:r>
          </w:p>
          <w:p w:rsidR="00F74524" w:rsidRPr="00295DBB" w:rsidRDefault="00F74524" w:rsidP="00B1298B">
            <w:pPr>
              <w:ind w:left="-108" w:right="-133"/>
              <w:jc w:val="center"/>
              <w:rPr>
                <w:rFonts w:eastAsia="Times New Roman"/>
                <w:bCs/>
              </w:rPr>
            </w:pPr>
            <w:r w:rsidRPr="00295DBB">
              <w:rPr>
                <w:rFonts w:eastAsia="Times New Roman"/>
                <w:bCs/>
              </w:rPr>
              <w:t xml:space="preserve">привлечения средств </w:t>
            </w:r>
            <w:r>
              <w:rPr>
                <w:rFonts w:eastAsia="Times New Roman"/>
                <w:bCs/>
              </w:rPr>
              <w:t xml:space="preserve">в бюджет города Москвы </w:t>
            </w:r>
            <w:r w:rsidRPr="00295DBB">
              <w:rPr>
                <w:rFonts w:eastAsia="Times New Roman"/>
                <w:bCs/>
              </w:rPr>
              <w:t>(тыс. рублей)</w:t>
            </w:r>
          </w:p>
        </w:tc>
        <w:tc>
          <w:tcPr>
            <w:tcW w:w="2410" w:type="dxa"/>
            <w:tcBorders>
              <w:top w:val="single" w:sz="4" w:space="0" w:color="auto"/>
              <w:left w:val="single" w:sz="4" w:space="0" w:color="auto"/>
              <w:bottom w:val="single" w:sz="4" w:space="0" w:color="auto"/>
              <w:right w:val="single" w:sz="4" w:space="0" w:color="auto"/>
            </w:tcBorders>
            <w:vAlign w:val="center"/>
          </w:tcPr>
          <w:p w:rsidR="00F74524" w:rsidRPr="00295DBB" w:rsidRDefault="00F74524" w:rsidP="00B1298B">
            <w:pPr>
              <w:ind w:left="-108" w:right="-133"/>
              <w:jc w:val="center"/>
              <w:rPr>
                <w:rFonts w:eastAsia="Times New Roman"/>
                <w:bCs/>
              </w:rPr>
            </w:pPr>
            <w:r>
              <w:rPr>
                <w:rFonts w:eastAsia="Times New Roman"/>
                <w:bCs/>
              </w:rPr>
              <w:t>Предельные сроки погашения долговых обязательств</w:t>
            </w:r>
          </w:p>
        </w:tc>
      </w:tr>
      <w:bookmarkEnd w:id="0"/>
      <w:tr w:rsidR="00F74524" w:rsidRPr="00295DBB" w:rsidTr="00B1298B">
        <w:trPr>
          <w:trHeight w:val="238"/>
        </w:trPr>
        <w:tc>
          <w:tcPr>
            <w:tcW w:w="606"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jc w:val="center"/>
              <w:rPr>
                <w:rFonts w:eastAsia="Times New Roman"/>
              </w:rPr>
            </w:pPr>
            <w:r w:rsidRPr="00295DBB">
              <w:rPr>
                <w:rFonts w:eastAsia="Times New Roman"/>
              </w:rPr>
              <w:t>1</w:t>
            </w:r>
          </w:p>
        </w:tc>
        <w:tc>
          <w:tcPr>
            <w:tcW w:w="3856"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ind w:right="-73"/>
              <w:rPr>
                <w:rFonts w:eastAsia="Times New Roman"/>
              </w:rPr>
            </w:pPr>
            <w:r w:rsidRPr="00D57613">
              <w:rPr>
                <w:rFonts w:eastAsia="Times New Roman"/>
              </w:rPr>
              <w:t>Бюджетные кредиты из других бюджетов бюджетной системы Российской Федерации в валюте Российской Федерации</w:t>
            </w:r>
          </w:p>
        </w:tc>
        <w:tc>
          <w:tcPr>
            <w:tcW w:w="2693" w:type="dxa"/>
            <w:tcBorders>
              <w:top w:val="single" w:sz="4" w:space="0" w:color="auto"/>
              <w:left w:val="single" w:sz="4" w:space="0" w:color="auto"/>
              <w:bottom w:val="single" w:sz="4" w:space="0" w:color="auto"/>
              <w:right w:val="single" w:sz="4" w:space="0" w:color="auto"/>
            </w:tcBorders>
          </w:tcPr>
          <w:p w:rsidR="00F74524" w:rsidRPr="00A70962" w:rsidRDefault="00F74524" w:rsidP="00B1298B">
            <w:pPr>
              <w:ind w:right="34"/>
              <w:jc w:val="center"/>
              <w:rPr>
                <w:rFonts w:eastAsia="Times New Roman"/>
              </w:rPr>
            </w:pPr>
            <w:r w:rsidRPr="00D57613">
              <w:rPr>
                <w:rFonts w:eastAsia="Times New Roman"/>
              </w:rPr>
              <w:t>40</w:t>
            </w:r>
            <w:r>
              <w:rPr>
                <w:rFonts w:eastAsia="Times New Roman"/>
              </w:rPr>
              <w:t> </w:t>
            </w:r>
            <w:r w:rsidRPr="00D57613">
              <w:rPr>
                <w:rFonts w:eastAsia="Times New Roman"/>
              </w:rPr>
              <w:t>528</w:t>
            </w:r>
            <w:r>
              <w:rPr>
                <w:rFonts w:eastAsia="Times New Roman"/>
              </w:rPr>
              <w:t> </w:t>
            </w:r>
            <w:r w:rsidRPr="00D57613">
              <w:rPr>
                <w:rFonts w:eastAsia="Times New Roman"/>
              </w:rPr>
              <w:t>174,5</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rsidR="00F74524" w:rsidRPr="00570378" w:rsidRDefault="00F74524" w:rsidP="00B1298B">
            <w:pPr>
              <w:ind w:right="34"/>
              <w:jc w:val="center"/>
              <w:rPr>
                <w:rFonts w:eastAsia="Times New Roman"/>
                <w:b/>
              </w:rPr>
            </w:pPr>
            <w:r>
              <w:rPr>
                <w:rFonts w:eastAsia="Times New Roman"/>
              </w:rPr>
              <w:t>15 лет</w:t>
            </w:r>
          </w:p>
        </w:tc>
      </w:tr>
      <w:tr w:rsidR="00F74524" w:rsidRPr="00295DBB" w:rsidTr="00B1298B">
        <w:trPr>
          <w:trHeight w:val="347"/>
        </w:trPr>
        <w:tc>
          <w:tcPr>
            <w:tcW w:w="606"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rPr>
                <w:rFonts w:eastAsia="Times New Roman"/>
                <w:bCs/>
              </w:rPr>
            </w:pPr>
          </w:p>
        </w:tc>
        <w:tc>
          <w:tcPr>
            <w:tcW w:w="3856"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keepNext/>
              <w:outlineLvl w:val="8"/>
              <w:rPr>
                <w:rFonts w:eastAsia="Times New Roman"/>
              </w:rPr>
            </w:pPr>
            <w:r w:rsidRPr="00295DBB">
              <w:rPr>
                <w:rFonts w:eastAsia="Times New Roman"/>
              </w:rPr>
              <w:t>ИТОГО</w:t>
            </w:r>
          </w:p>
        </w:tc>
        <w:tc>
          <w:tcPr>
            <w:tcW w:w="2693"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jc w:val="center"/>
              <w:rPr>
                <w:rFonts w:eastAsia="Times New Roman"/>
                <w:b/>
                <w:bCs/>
              </w:rPr>
            </w:pPr>
            <w:r w:rsidRPr="00D57613">
              <w:rPr>
                <w:rFonts w:eastAsia="Times New Roman"/>
              </w:rPr>
              <w:t>40</w:t>
            </w:r>
            <w:r>
              <w:rPr>
                <w:rFonts w:eastAsia="Times New Roman"/>
              </w:rPr>
              <w:t> </w:t>
            </w:r>
            <w:r w:rsidRPr="00D57613">
              <w:rPr>
                <w:rFonts w:eastAsia="Times New Roman"/>
              </w:rPr>
              <w:t>528</w:t>
            </w:r>
            <w:r>
              <w:rPr>
                <w:rFonts w:eastAsia="Times New Roman"/>
              </w:rPr>
              <w:t> </w:t>
            </w:r>
            <w:r w:rsidRPr="00D57613">
              <w:rPr>
                <w:rFonts w:eastAsia="Times New Roman"/>
              </w:rPr>
              <w:t>174,5</w:t>
            </w:r>
          </w:p>
        </w:tc>
        <w:tc>
          <w:tcPr>
            <w:tcW w:w="2410"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jc w:val="center"/>
              <w:rPr>
                <w:rFonts w:eastAsia="Times New Roman"/>
                <w:b/>
                <w:bCs/>
              </w:rPr>
            </w:pPr>
            <w:r>
              <w:rPr>
                <w:rFonts w:eastAsia="Times New Roman"/>
                <w:b/>
                <w:bCs/>
              </w:rPr>
              <w:t>-</w:t>
            </w:r>
          </w:p>
        </w:tc>
      </w:tr>
    </w:tbl>
    <w:p w:rsidR="00F74524" w:rsidRPr="00295DBB" w:rsidRDefault="00F74524" w:rsidP="00F74524">
      <w:pPr>
        <w:keepNext/>
        <w:ind w:right="-51"/>
        <w:outlineLvl w:val="5"/>
        <w:rPr>
          <w:rFonts w:eastAsia="Times New Roman"/>
        </w:rPr>
      </w:pPr>
    </w:p>
    <w:p w:rsidR="00F74524" w:rsidRPr="00295DBB" w:rsidRDefault="00F74524" w:rsidP="00F74524">
      <w:pPr>
        <w:jc w:val="center"/>
        <w:rPr>
          <w:rFonts w:eastAsia="Times New Roman"/>
        </w:rPr>
      </w:pPr>
      <w:r w:rsidRPr="00295DBB">
        <w:rPr>
          <w:rFonts w:eastAsia="Times New Roman"/>
        </w:rPr>
        <w:t xml:space="preserve">II. Погашение </w:t>
      </w:r>
      <w:r>
        <w:rPr>
          <w:rFonts w:eastAsia="Times New Roman"/>
        </w:rPr>
        <w:t>долговых обязательств в 2022 году</w:t>
      </w:r>
    </w:p>
    <w:p w:rsidR="00F74524" w:rsidRPr="00295DBB" w:rsidRDefault="00F74524" w:rsidP="00F74524">
      <w:pPr>
        <w:jc w:val="center"/>
        <w:rPr>
          <w:rFonts w:eastAsia="Times New Roman"/>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265"/>
        <w:gridCol w:w="2694"/>
      </w:tblGrid>
      <w:tr w:rsidR="00F74524" w:rsidRPr="00295DBB" w:rsidTr="00B1298B">
        <w:trPr>
          <w:trHeight w:val="1129"/>
        </w:trPr>
        <w:tc>
          <w:tcPr>
            <w:tcW w:w="568" w:type="dxa"/>
            <w:tcBorders>
              <w:top w:val="single" w:sz="4" w:space="0" w:color="auto"/>
              <w:left w:val="single" w:sz="4" w:space="0" w:color="auto"/>
              <w:bottom w:val="single" w:sz="4" w:space="0" w:color="auto"/>
              <w:right w:val="single" w:sz="4" w:space="0" w:color="auto"/>
            </w:tcBorders>
            <w:vAlign w:val="center"/>
          </w:tcPr>
          <w:p w:rsidR="00F74524" w:rsidRPr="00295DBB" w:rsidRDefault="00F74524" w:rsidP="00B1298B">
            <w:pPr>
              <w:jc w:val="center"/>
              <w:rPr>
                <w:rFonts w:eastAsia="Times New Roman"/>
                <w:bCs/>
              </w:rPr>
            </w:pPr>
            <w:r w:rsidRPr="00295DBB">
              <w:rPr>
                <w:rFonts w:eastAsia="Times New Roman"/>
                <w:bCs/>
              </w:rPr>
              <w:t>№</w:t>
            </w:r>
            <w:r w:rsidRPr="00295DBB">
              <w:rPr>
                <w:rFonts w:eastAsia="Times New Roman"/>
                <w:bCs/>
              </w:rPr>
              <w:br/>
              <w:t>п/п</w:t>
            </w:r>
          </w:p>
        </w:tc>
        <w:tc>
          <w:tcPr>
            <w:tcW w:w="6265" w:type="dxa"/>
            <w:tcBorders>
              <w:top w:val="single" w:sz="4" w:space="0" w:color="auto"/>
              <w:left w:val="single" w:sz="4" w:space="0" w:color="auto"/>
              <w:bottom w:val="single" w:sz="4" w:space="0" w:color="auto"/>
              <w:right w:val="single" w:sz="4" w:space="0" w:color="auto"/>
            </w:tcBorders>
            <w:vAlign w:val="center"/>
          </w:tcPr>
          <w:p w:rsidR="00F74524" w:rsidRPr="00295DBB" w:rsidRDefault="00F74524" w:rsidP="00B1298B">
            <w:pPr>
              <w:keepNext/>
              <w:jc w:val="center"/>
              <w:outlineLvl w:val="4"/>
              <w:rPr>
                <w:rFonts w:eastAsia="Times New Roman"/>
                <w:snapToGrid w:val="0"/>
              </w:rPr>
            </w:pPr>
            <w:r w:rsidRPr="00295DBB">
              <w:rPr>
                <w:rFonts w:eastAsia="Times New Roman"/>
                <w:snapToGrid w:val="0"/>
              </w:rPr>
              <w:t xml:space="preserve">Виды </w:t>
            </w:r>
            <w:r>
              <w:rPr>
                <w:rFonts w:eastAsia="Times New Roman"/>
                <w:snapToGrid w:val="0"/>
              </w:rPr>
              <w:t>долговых обязательств</w:t>
            </w:r>
          </w:p>
        </w:tc>
        <w:tc>
          <w:tcPr>
            <w:tcW w:w="2694" w:type="dxa"/>
            <w:tcBorders>
              <w:top w:val="single" w:sz="4" w:space="0" w:color="auto"/>
              <w:left w:val="single" w:sz="4" w:space="0" w:color="auto"/>
              <w:bottom w:val="single" w:sz="4" w:space="0" w:color="auto"/>
              <w:right w:val="single" w:sz="4" w:space="0" w:color="auto"/>
            </w:tcBorders>
            <w:vAlign w:val="center"/>
          </w:tcPr>
          <w:p w:rsidR="00F74524" w:rsidRPr="00295DBB" w:rsidRDefault="00F74524" w:rsidP="00B1298B">
            <w:pPr>
              <w:jc w:val="center"/>
              <w:rPr>
                <w:rFonts w:eastAsia="Times New Roman"/>
                <w:bCs/>
              </w:rPr>
            </w:pPr>
            <w:r w:rsidRPr="00295DBB">
              <w:rPr>
                <w:rFonts w:eastAsia="Times New Roman"/>
                <w:bCs/>
              </w:rPr>
              <w:t>Объем</w:t>
            </w:r>
            <w:r>
              <w:rPr>
                <w:rFonts w:eastAsia="Times New Roman"/>
                <w:bCs/>
              </w:rPr>
              <w:t xml:space="preserve"> </w:t>
            </w:r>
            <w:r w:rsidRPr="00295DBB">
              <w:rPr>
                <w:rFonts w:eastAsia="Times New Roman"/>
                <w:bCs/>
              </w:rPr>
              <w:t xml:space="preserve">погашения </w:t>
            </w:r>
            <w:r>
              <w:rPr>
                <w:rFonts w:eastAsia="Times New Roman"/>
                <w:bCs/>
              </w:rPr>
              <w:t xml:space="preserve">долговых обязательств города Москвы </w:t>
            </w:r>
            <w:r w:rsidRPr="00295DBB">
              <w:rPr>
                <w:rFonts w:eastAsia="Times New Roman"/>
                <w:bCs/>
              </w:rPr>
              <w:t>(тыс. рублей)</w:t>
            </w:r>
          </w:p>
        </w:tc>
      </w:tr>
      <w:tr w:rsidR="00F74524" w:rsidRPr="00295DBB" w:rsidTr="00B1298B">
        <w:trPr>
          <w:trHeight w:val="392"/>
        </w:trPr>
        <w:tc>
          <w:tcPr>
            <w:tcW w:w="568"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jc w:val="center"/>
              <w:rPr>
                <w:rFonts w:eastAsia="Times New Roman"/>
              </w:rPr>
            </w:pPr>
            <w:r w:rsidRPr="00295DBB">
              <w:rPr>
                <w:rFonts w:eastAsia="Times New Roman"/>
              </w:rPr>
              <w:t>1</w:t>
            </w:r>
          </w:p>
        </w:tc>
        <w:tc>
          <w:tcPr>
            <w:tcW w:w="6265"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ind w:right="-73"/>
              <w:rPr>
                <w:rFonts w:eastAsia="Times New Roman"/>
              </w:rPr>
            </w:pPr>
            <w:r w:rsidRPr="00295DBB">
              <w:rPr>
                <w:rFonts w:eastAsia="Times New Roman"/>
              </w:rPr>
              <w:t>Государственные ценные бумаги, номинальная стоимость которых указана в валюте Российской Федерации</w:t>
            </w:r>
          </w:p>
        </w:tc>
        <w:tc>
          <w:tcPr>
            <w:tcW w:w="2694"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jc w:val="center"/>
              <w:rPr>
                <w:rFonts w:eastAsia="Times New Roman"/>
              </w:rPr>
            </w:pPr>
            <w:r w:rsidRPr="00D57613">
              <w:rPr>
                <w:rFonts w:eastAsia="Times New Roman"/>
              </w:rPr>
              <w:t>28 443 323,3</w:t>
            </w:r>
          </w:p>
        </w:tc>
      </w:tr>
      <w:tr w:rsidR="00F74524" w:rsidRPr="00295DBB" w:rsidTr="00B1298B">
        <w:trPr>
          <w:trHeight w:val="387"/>
        </w:trPr>
        <w:tc>
          <w:tcPr>
            <w:tcW w:w="568"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jc w:val="center"/>
              <w:rPr>
                <w:rFonts w:eastAsia="Times New Roman"/>
                <w:bCs/>
              </w:rPr>
            </w:pPr>
          </w:p>
        </w:tc>
        <w:tc>
          <w:tcPr>
            <w:tcW w:w="6265"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keepNext/>
              <w:outlineLvl w:val="8"/>
              <w:rPr>
                <w:rFonts w:eastAsia="Times New Roman"/>
              </w:rPr>
            </w:pPr>
            <w:r w:rsidRPr="00295DBB">
              <w:rPr>
                <w:rFonts w:eastAsia="Times New Roman"/>
              </w:rPr>
              <w:t>ИТОГО</w:t>
            </w:r>
          </w:p>
        </w:tc>
        <w:tc>
          <w:tcPr>
            <w:tcW w:w="2694" w:type="dxa"/>
            <w:tcBorders>
              <w:top w:val="single" w:sz="4" w:space="0" w:color="auto"/>
              <w:left w:val="single" w:sz="4" w:space="0" w:color="auto"/>
              <w:bottom w:val="single" w:sz="4" w:space="0" w:color="auto"/>
              <w:right w:val="single" w:sz="4" w:space="0" w:color="auto"/>
            </w:tcBorders>
          </w:tcPr>
          <w:p w:rsidR="00F74524" w:rsidRPr="00295DBB" w:rsidRDefault="00F74524" w:rsidP="00B1298B">
            <w:pPr>
              <w:ind w:right="-108"/>
              <w:jc w:val="center"/>
              <w:rPr>
                <w:rFonts w:eastAsia="Times New Roman"/>
                <w:bCs/>
              </w:rPr>
            </w:pPr>
            <w:r w:rsidRPr="00D57613">
              <w:rPr>
                <w:rFonts w:eastAsia="Times New Roman"/>
              </w:rPr>
              <w:t>28 443 323,3</w:t>
            </w:r>
          </w:p>
        </w:tc>
      </w:tr>
    </w:tbl>
    <w:p w:rsidR="0025026C" w:rsidRPr="00295DBB" w:rsidRDefault="0025026C" w:rsidP="0025026C">
      <w:pPr>
        <w:keepNext/>
        <w:ind w:right="-51"/>
        <w:outlineLvl w:val="5"/>
        <w:rPr>
          <w:rFonts w:eastAsia="Times New Roman"/>
        </w:rPr>
      </w:pPr>
    </w:p>
    <w:p w:rsidR="00D70690" w:rsidRDefault="00D70690" w:rsidP="00B7403A">
      <w:pPr>
        <w:jc w:val="both"/>
        <w:rPr>
          <w:rFonts w:eastAsia="Times New Roman"/>
        </w:rPr>
      </w:pPr>
    </w:p>
    <w:p w:rsidR="00C27409" w:rsidRDefault="00C27409" w:rsidP="00B7403A">
      <w:pPr>
        <w:jc w:val="both"/>
        <w:rPr>
          <w:rFonts w:eastAsia="Times New Roman"/>
        </w:rPr>
      </w:pPr>
    </w:p>
    <w:p w:rsidR="00D70690" w:rsidRDefault="00D70690" w:rsidP="00B7403A">
      <w:pPr>
        <w:jc w:val="both"/>
        <w:rPr>
          <w:rFonts w:eastAsia="Times New Roman"/>
        </w:rPr>
      </w:pPr>
    </w:p>
    <w:p w:rsidR="00665257" w:rsidRPr="00CC3ED8" w:rsidRDefault="00665257" w:rsidP="00665257">
      <w:pPr>
        <w:rPr>
          <w:b/>
          <w:bCs/>
          <w:color w:val="000000"/>
          <w:sz w:val="28"/>
        </w:rPr>
      </w:pPr>
      <w:r w:rsidRPr="00CC3ED8">
        <w:rPr>
          <w:b/>
          <w:color w:val="000000"/>
          <w:sz w:val="28"/>
        </w:rPr>
        <w:t>Редактор проекта:</w:t>
      </w:r>
    </w:p>
    <w:p w:rsidR="00665257" w:rsidRPr="00CC3ED8" w:rsidRDefault="00665257" w:rsidP="00665257">
      <w:pPr>
        <w:rPr>
          <w:bCs/>
          <w:color w:val="000000"/>
          <w:sz w:val="28"/>
        </w:rPr>
      </w:pPr>
      <w:r w:rsidRPr="00CC3ED8">
        <w:rPr>
          <w:color w:val="000000"/>
          <w:sz w:val="28"/>
        </w:rPr>
        <w:t>министр Правительства Москвы,</w:t>
      </w:r>
    </w:p>
    <w:p w:rsidR="00665257" w:rsidRPr="00CC3ED8" w:rsidRDefault="00665257" w:rsidP="00665257">
      <w:pPr>
        <w:rPr>
          <w:bCs/>
          <w:color w:val="000000"/>
          <w:sz w:val="28"/>
        </w:rPr>
      </w:pPr>
      <w:r w:rsidRPr="00CC3ED8">
        <w:rPr>
          <w:color w:val="000000"/>
          <w:sz w:val="28"/>
        </w:rPr>
        <w:t xml:space="preserve">руководитель Департамента </w:t>
      </w:r>
    </w:p>
    <w:p w:rsidR="00665257" w:rsidRPr="00CC3ED8" w:rsidRDefault="00665257" w:rsidP="00665257">
      <w:pPr>
        <w:rPr>
          <w:bCs/>
          <w:color w:val="000000"/>
          <w:sz w:val="28"/>
        </w:rPr>
      </w:pPr>
      <w:r w:rsidRPr="00CC3ED8">
        <w:rPr>
          <w:color w:val="000000"/>
          <w:sz w:val="28"/>
        </w:rPr>
        <w:t>финансов города Москвы</w:t>
      </w:r>
    </w:p>
    <w:p w:rsidR="00665257" w:rsidRPr="00CC3ED8" w:rsidRDefault="00665257" w:rsidP="00665257">
      <w:pPr>
        <w:rPr>
          <w:b/>
          <w:color w:val="000000"/>
          <w:sz w:val="28"/>
        </w:rPr>
      </w:pPr>
      <w:proofErr w:type="spellStart"/>
      <w:r w:rsidRPr="00CC3ED8">
        <w:rPr>
          <w:b/>
          <w:color w:val="000000"/>
          <w:sz w:val="28"/>
        </w:rPr>
        <w:t>Е.Ю.Зяббарова</w:t>
      </w:r>
      <w:proofErr w:type="spellEnd"/>
    </w:p>
    <w:p w:rsidR="00B7403A" w:rsidRDefault="00665257" w:rsidP="00B7403A">
      <w:pPr>
        <w:jc w:val="both"/>
        <w:rPr>
          <w:rFonts w:eastAsia="Times New Roman"/>
        </w:rPr>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C63280">
      <w:headerReference w:type="even" r:id="rId8"/>
      <w:headerReference w:type="default" r:id="rId9"/>
      <w:footerReference w:type="even" r:id="rId10"/>
      <w:headerReference w:type="first" r:id="rId11"/>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rsidP="00C63280">
    <w:pPr>
      <w:pStyle w:val="af9"/>
    </w:pPr>
  </w:p>
  <w:p w:rsidR="00135D7A" w:rsidRDefault="00135D7A">
    <w:pPr>
      <w:pStyle w:val="af9"/>
    </w:pPr>
  </w:p>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r>
      <w:fldChar w:fldCharType="begin"/>
    </w:r>
    <w:r>
      <w:instrText>PAGE   \* MERGEFORMAT</w:instrText>
    </w:r>
    <w:r>
      <w:fldChar w:fldCharType="separate"/>
    </w:r>
    <w:r>
      <w:rPr>
        <w:noProof/>
      </w:rPr>
      <w:t>870</w:t>
    </w:r>
    <w:r>
      <w:fldChar w:fldCharType="end"/>
    </w:r>
  </w:p>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5CC3"/>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4468"/>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5FE1"/>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0BF"/>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26B"/>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327"/>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D23"/>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0EB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85F"/>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4A7A"/>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3280"/>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BEF"/>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1E93"/>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51417E"/>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6AF01-B5A4-4D7A-9029-DCF77FECA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821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2023-05-03T08:53:00Z</cp:lastPrinted>
  <dcterms:created xsi:type="dcterms:W3CDTF">2023-05-26T12:52:00Z</dcterms:created>
  <dcterms:modified xsi:type="dcterms:W3CDTF">2023-05-26T13:48:00Z</dcterms:modified>
</cp:coreProperties>
</file>